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CDCB" w14:textId="77777777" w:rsidR="00C514A9" w:rsidRPr="00C514A9" w:rsidRDefault="00C514A9" w:rsidP="00C514A9">
      <w:pPr>
        <w:shd w:val="clear" w:color="auto" w:fill="FFFFFF"/>
        <w:spacing w:after="137" w:line="288" w:lineRule="atLeast"/>
        <w:outlineLvl w:val="0"/>
        <w:rPr>
          <w:rFonts w:ascii="Arial" w:eastAsia="Times New Roman" w:hAnsi="Arial" w:cs="Arial"/>
          <w:b/>
          <w:bCs/>
          <w:color w:val="313132"/>
          <w:kern w:val="36"/>
          <w:sz w:val="50"/>
          <w:szCs w:val="50"/>
          <w:lang w:eastAsia="en-CA"/>
        </w:rPr>
      </w:pPr>
      <w:r w:rsidRPr="00C514A9">
        <w:rPr>
          <w:rFonts w:ascii="Arial" w:eastAsia="Times New Roman" w:hAnsi="Arial" w:cs="Arial"/>
          <w:b/>
          <w:bCs/>
          <w:color w:val="313132"/>
          <w:kern w:val="36"/>
          <w:sz w:val="50"/>
          <w:szCs w:val="50"/>
          <w:lang w:eastAsia="en-CA"/>
        </w:rPr>
        <w:t>Society AGMs COVID-19 Updates</w:t>
      </w:r>
    </w:p>
    <w:p w14:paraId="6CEBB9F0" w14:textId="77777777" w:rsidR="00C514A9" w:rsidRPr="00C514A9" w:rsidRDefault="00C514A9" w:rsidP="00C514A9">
      <w:pPr>
        <w:shd w:val="clear" w:color="auto" w:fill="FFFFFF"/>
        <w:spacing w:after="240"/>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 xml:space="preserve">It is important that Societies and those individuals involved with Societies follow guidelines and recommendations set forth by the Provincial Health Officer, B.C. Health Minister, and Canada Health guidelines </w:t>
      </w:r>
      <w:proofErr w:type="gramStart"/>
      <w:r w:rsidRPr="00C514A9">
        <w:rPr>
          <w:rFonts w:ascii="Arial" w:eastAsia="Times New Roman" w:hAnsi="Arial" w:cs="Arial"/>
          <w:color w:val="313132"/>
          <w:szCs w:val="24"/>
          <w:lang w:eastAsia="en-CA"/>
        </w:rPr>
        <w:t>in regards to</w:t>
      </w:r>
      <w:proofErr w:type="gramEnd"/>
      <w:r w:rsidRPr="00C514A9">
        <w:rPr>
          <w:rFonts w:ascii="Arial" w:eastAsia="Times New Roman" w:hAnsi="Arial" w:cs="Arial"/>
          <w:color w:val="313132"/>
          <w:szCs w:val="24"/>
          <w:lang w:eastAsia="en-CA"/>
        </w:rPr>
        <w:t xml:space="preserve"> COVID-19.</w:t>
      </w:r>
    </w:p>
    <w:p w14:paraId="2A491A2F" w14:textId="77777777" w:rsidR="00C514A9" w:rsidRPr="00C514A9" w:rsidRDefault="00C514A9" w:rsidP="00C514A9">
      <w:pPr>
        <w:shd w:val="clear" w:color="auto" w:fill="FFFFFF"/>
        <w:spacing w:before="240" w:after="240"/>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See </w:t>
      </w:r>
      <w:r w:rsidRPr="00C514A9">
        <w:rPr>
          <w:rFonts w:ascii="Arial" w:eastAsia="Times New Roman" w:hAnsi="Arial" w:cs="Arial"/>
          <w:i/>
          <w:iCs/>
          <w:color w:val="313132"/>
          <w:szCs w:val="24"/>
          <w:lang w:eastAsia="en-CA"/>
        </w:rPr>
        <w:t>NEW</w:t>
      </w:r>
      <w:r w:rsidRPr="00C514A9">
        <w:rPr>
          <w:rFonts w:ascii="Arial" w:eastAsia="Times New Roman" w:hAnsi="Arial" w:cs="Arial"/>
          <w:color w:val="313132"/>
          <w:szCs w:val="24"/>
          <w:lang w:eastAsia="en-CA"/>
        </w:rPr>
        <w:t> </w:t>
      </w:r>
      <w:hyperlink r:id="rId5" w:tgtFrame="_blank" w:history="1">
        <w:r w:rsidRPr="00C514A9">
          <w:rPr>
            <w:rFonts w:ascii="Arial" w:eastAsia="Times New Roman" w:hAnsi="Arial" w:cs="Arial"/>
            <w:color w:val="1A5A96"/>
            <w:szCs w:val="24"/>
            <w:u w:val="single"/>
            <w:lang w:eastAsia="en-CA"/>
          </w:rPr>
          <w:t>decision of the Registrar of Companies</w:t>
        </w:r>
      </w:hyperlink>
      <w:r w:rsidRPr="00C514A9">
        <w:rPr>
          <w:rFonts w:ascii="Arial" w:eastAsia="Times New Roman" w:hAnsi="Arial" w:cs="Arial"/>
          <w:color w:val="313132"/>
          <w:szCs w:val="24"/>
          <w:lang w:eastAsia="en-CA"/>
        </w:rPr>
        <w:t> on timing of meetings.</w:t>
      </w:r>
    </w:p>
    <w:p w14:paraId="517E496D" w14:textId="77777777" w:rsidR="00C514A9" w:rsidRPr="00C514A9" w:rsidRDefault="00C514A9" w:rsidP="00C514A9">
      <w:pPr>
        <w:shd w:val="clear" w:color="auto" w:fill="FFFFFF"/>
        <w:spacing w:before="240" w:after="240"/>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Last updated:</w:t>
      </w:r>
      <w:r w:rsidRPr="00C514A9">
        <w:rPr>
          <w:rFonts w:ascii="Arial" w:eastAsia="Times New Roman" w:hAnsi="Arial" w:cs="Arial"/>
          <w:b/>
          <w:bCs/>
          <w:color w:val="313132"/>
          <w:szCs w:val="24"/>
          <w:lang w:eastAsia="en-CA"/>
        </w:rPr>
        <w:t> June 23, 2020</w:t>
      </w:r>
    </w:p>
    <w:p w14:paraId="74D3B7F5" w14:textId="77777777" w:rsidR="00C514A9" w:rsidRPr="00C514A9" w:rsidRDefault="00C514A9" w:rsidP="00C514A9">
      <w:pPr>
        <w:shd w:val="clear" w:color="auto" w:fill="FFFFFF"/>
        <w:spacing w:before="199" w:after="103" w:line="288" w:lineRule="atLeast"/>
        <w:outlineLvl w:val="1"/>
        <w:rPr>
          <w:rFonts w:ascii="inherit" w:eastAsia="Times New Roman" w:hAnsi="inherit" w:cs="Arial"/>
          <w:b/>
          <w:bCs/>
          <w:color w:val="313132"/>
          <w:sz w:val="42"/>
          <w:szCs w:val="42"/>
          <w:lang w:eastAsia="en-CA"/>
        </w:rPr>
      </w:pPr>
      <w:r w:rsidRPr="00C514A9">
        <w:rPr>
          <w:rFonts w:ascii="inherit" w:eastAsia="Times New Roman" w:hAnsi="inherit" w:cs="Arial"/>
          <w:b/>
          <w:bCs/>
          <w:color w:val="313132"/>
          <w:sz w:val="42"/>
          <w:szCs w:val="42"/>
          <w:lang w:eastAsia="en-CA"/>
        </w:rPr>
        <w:t>Virtual Meetings</w:t>
      </w:r>
    </w:p>
    <w:p w14:paraId="79451847" w14:textId="77777777" w:rsidR="00C514A9" w:rsidRPr="00C514A9" w:rsidRDefault="00C514A9" w:rsidP="00C514A9">
      <w:pPr>
        <w:shd w:val="clear" w:color="auto" w:fill="FFFFFF"/>
        <w:spacing w:before="240" w:after="240"/>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Societies now have the option of hosting virtual or hybrid meetings even if the society’s bylaws and the Cooperative Association Act, the Business Corporations Act, the Societies Act, and any regulations under these acts that state otherwise.</w:t>
      </w:r>
    </w:p>
    <w:p w14:paraId="6AC159BF" w14:textId="77777777" w:rsidR="00C514A9" w:rsidRPr="00C514A9" w:rsidRDefault="00C514A9" w:rsidP="00C514A9">
      <w:pPr>
        <w:numPr>
          <w:ilvl w:val="0"/>
          <w:numId w:val="1"/>
        </w:numPr>
        <w:spacing w:before="100" w:beforeAutospacing="1" w:after="45"/>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This is the result of a </w:t>
      </w:r>
      <w:hyperlink r:id="rId6" w:tgtFrame="_blank" w:history="1">
        <w:r w:rsidRPr="00C514A9">
          <w:rPr>
            <w:rFonts w:ascii="Arial" w:eastAsia="Times New Roman" w:hAnsi="Arial" w:cs="Arial"/>
            <w:color w:val="1A5A96"/>
            <w:szCs w:val="24"/>
            <w:u w:val="single"/>
            <w:lang w:eastAsia="en-CA"/>
          </w:rPr>
          <w:t>ministerial order</w:t>
        </w:r>
      </w:hyperlink>
      <w:r w:rsidRPr="00C514A9">
        <w:rPr>
          <w:rFonts w:ascii="Arial" w:eastAsia="Times New Roman" w:hAnsi="Arial" w:cs="Arial"/>
          <w:color w:val="313132"/>
          <w:szCs w:val="24"/>
          <w:lang w:eastAsia="en-CA"/>
        </w:rPr>
        <w:t> that will remain in force for the duration of the current state of emergency</w:t>
      </w:r>
    </w:p>
    <w:p w14:paraId="169CDB44" w14:textId="77777777" w:rsidR="00C514A9" w:rsidRPr="00C514A9" w:rsidRDefault="00C514A9" w:rsidP="00C514A9">
      <w:pPr>
        <w:numPr>
          <w:ilvl w:val="0"/>
          <w:numId w:val="1"/>
        </w:numPr>
        <w:spacing w:before="100" w:beforeAutospacing="1" w:after="45"/>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Where a notice is required, instructions for participation can be provided in lieu of a physical location</w:t>
      </w:r>
    </w:p>
    <w:p w14:paraId="1A94823E" w14:textId="77777777" w:rsidR="00C514A9" w:rsidRPr="00C514A9" w:rsidRDefault="00C514A9" w:rsidP="00C514A9">
      <w:pPr>
        <w:shd w:val="clear" w:color="auto" w:fill="FFFFFF"/>
        <w:spacing w:before="240" w:after="103" w:line="288" w:lineRule="atLeast"/>
        <w:outlineLvl w:val="2"/>
        <w:rPr>
          <w:rFonts w:ascii="inherit" w:eastAsia="Times New Roman" w:hAnsi="inherit" w:cs="Arial"/>
          <w:b/>
          <w:bCs/>
          <w:color w:val="313132"/>
          <w:sz w:val="35"/>
          <w:szCs w:val="35"/>
          <w:lang w:eastAsia="en-CA"/>
        </w:rPr>
      </w:pPr>
      <w:r w:rsidRPr="00C514A9">
        <w:rPr>
          <w:rFonts w:ascii="inherit" w:eastAsia="Times New Roman" w:hAnsi="inherit" w:cs="Arial"/>
          <w:b/>
          <w:bCs/>
          <w:color w:val="313132"/>
          <w:sz w:val="35"/>
          <w:szCs w:val="35"/>
          <w:lang w:eastAsia="en-CA"/>
        </w:rPr>
        <w:t>Timing of Meetings</w:t>
      </w:r>
    </w:p>
    <w:p w14:paraId="4E554363" w14:textId="77777777" w:rsidR="00C514A9" w:rsidRPr="00C514A9" w:rsidRDefault="00C514A9" w:rsidP="00C514A9">
      <w:pPr>
        <w:shd w:val="clear" w:color="auto" w:fill="FFFFFF"/>
        <w:spacing w:before="240" w:after="240"/>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Section 71 of the Societies Act also provides flexibility as to when AGMs are held.</w:t>
      </w:r>
    </w:p>
    <w:p w14:paraId="38071604" w14:textId="77777777" w:rsidR="00C514A9" w:rsidRPr="00C514A9" w:rsidRDefault="00C514A9" w:rsidP="00C514A9">
      <w:pPr>
        <w:shd w:val="clear" w:color="auto" w:fill="FFFFFF"/>
        <w:spacing w:before="240" w:after="240"/>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A society has until December 31 to hold an Annual General Meeting.</w:t>
      </w:r>
    </w:p>
    <w:p w14:paraId="02E46442" w14:textId="77777777" w:rsidR="00C514A9" w:rsidRPr="00C514A9" w:rsidRDefault="00C514A9" w:rsidP="00C514A9">
      <w:pPr>
        <w:numPr>
          <w:ilvl w:val="0"/>
          <w:numId w:val="2"/>
        </w:numPr>
        <w:spacing w:before="100" w:beforeAutospacing="1" w:after="45"/>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 xml:space="preserve">If an Annual General Meeting is not held prior to December 31 then the society may </w:t>
      </w:r>
      <w:proofErr w:type="gramStart"/>
      <w:r w:rsidRPr="00C514A9">
        <w:rPr>
          <w:rFonts w:ascii="Arial" w:eastAsia="Times New Roman" w:hAnsi="Arial" w:cs="Arial"/>
          <w:color w:val="313132"/>
          <w:szCs w:val="24"/>
          <w:lang w:eastAsia="en-CA"/>
        </w:rPr>
        <w:t>file</w:t>
      </w:r>
      <w:proofErr w:type="gramEnd"/>
      <w:r w:rsidRPr="00C514A9">
        <w:rPr>
          <w:rFonts w:ascii="Arial" w:eastAsia="Times New Roman" w:hAnsi="Arial" w:cs="Arial"/>
          <w:color w:val="313132"/>
          <w:szCs w:val="24"/>
          <w:lang w:eastAsia="en-CA"/>
        </w:rPr>
        <w:t xml:space="preserve"> the Annual Report as "No Meeting Held" between January 1</w:t>
      </w:r>
      <w:r w:rsidRPr="00C514A9">
        <w:rPr>
          <w:rFonts w:ascii="Arial" w:eastAsia="Times New Roman" w:hAnsi="Arial" w:cs="Arial"/>
          <w:color w:val="313132"/>
          <w:sz w:val="18"/>
          <w:szCs w:val="18"/>
          <w:vertAlign w:val="superscript"/>
          <w:lang w:eastAsia="en-CA"/>
        </w:rPr>
        <w:t> </w:t>
      </w:r>
      <w:r w:rsidRPr="00C514A9">
        <w:rPr>
          <w:rFonts w:ascii="Arial" w:eastAsia="Times New Roman" w:hAnsi="Arial" w:cs="Arial"/>
          <w:color w:val="313132"/>
          <w:szCs w:val="24"/>
          <w:lang w:eastAsia="en-CA"/>
        </w:rPr>
        <w:t>and January 31</w:t>
      </w:r>
    </w:p>
    <w:p w14:paraId="0EE6F26D" w14:textId="77777777" w:rsidR="00C514A9" w:rsidRPr="00C514A9" w:rsidRDefault="00C514A9" w:rsidP="00C514A9">
      <w:pPr>
        <w:numPr>
          <w:ilvl w:val="0"/>
          <w:numId w:val="2"/>
        </w:numPr>
        <w:spacing w:before="100" w:beforeAutospacing="1" w:after="45"/>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A society may also file online for an extension to AGM date between November 1 to December 31 of the calendar year in which the AGM is supposed to be held</w:t>
      </w:r>
    </w:p>
    <w:p w14:paraId="4CEEE6C9" w14:textId="77777777" w:rsidR="00C514A9" w:rsidRPr="00C514A9" w:rsidRDefault="00C514A9" w:rsidP="00C514A9">
      <w:pPr>
        <w:numPr>
          <w:ilvl w:val="0"/>
          <w:numId w:val="2"/>
        </w:numPr>
        <w:spacing w:before="100" w:beforeAutospacing="1" w:after="45"/>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The society can then hold a meeting up to March 31 of the following year</w:t>
      </w:r>
    </w:p>
    <w:p w14:paraId="04189DCA" w14:textId="77777777" w:rsidR="00C514A9" w:rsidRPr="00C514A9" w:rsidRDefault="00C514A9" w:rsidP="00C514A9">
      <w:pPr>
        <w:numPr>
          <w:ilvl w:val="0"/>
          <w:numId w:val="2"/>
        </w:numPr>
        <w:spacing w:before="100" w:beforeAutospacing="1" w:after="45"/>
        <w:rPr>
          <w:rFonts w:ascii="Arial" w:eastAsia="Times New Roman" w:hAnsi="Arial" w:cs="Arial"/>
          <w:color w:val="313132"/>
          <w:szCs w:val="24"/>
          <w:lang w:eastAsia="en-CA"/>
        </w:rPr>
      </w:pPr>
      <w:r w:rsidRPr="00C514A9">
        <w:rPr>
          <w:rFonts w:ascii="Arial" w:eastAsia="Times New Roman" w:hAnsi="Arial" w:cs="Arial"/>
          <w:color w:val="313132"/>
          <w:szCs w:val="24"/>
          <w:lang w:eastAsia="en-CA"/>
        </w:rPr>
        <w:t>In light of COVID-19, a  </w:t>
      </w:r>
      <w:hyperlink r:id="rId7" w:tgtFrame="_blank" w:history="1">
        <w:r w:rsidRPr="00C514A9">
          <w:rPr>
            <w:rFonts w:ascii="Arial" w:eastAsia="Times New Roman" w:hAnsi="Arial" w:cs="Arial"/>
            <w:color w:val="1A5A96"/>
            <w:szCs w:val="24"/>
            <w:u w:val="single"/>
            <w:lang w:eastAsia="en-CA"/>
          </w:rPr>
          <w:t>decision of the Registrar of Companies</w:t>
        </w:r>
      </w:hyperlink>
      <w:r w:rsidRPr="00C514A9">
        <w:rPr>
          <w:rFonts w:ascii="Arial" w:eastAsia="Times New Roman" w:hAnsi="Arial" w:cs="Arial"/>
          <w:color w:val="313132"/>
          <w:szCs w:val="24"/>
          <w:lang w:eastAsia="en-CA"/>
        </w:rPr>
        <w:t>  has been made to provide an option for societies that wish to delay their annual general meeting past the March 31 deadline.</w:t>
      </w:r>
    </w:p>
    <w:p w14:paraId="1DBC6F72" w14:textId="77777777" w:rsidR="00B630EA" w:rsidRDefault="00C514A9"/>
    <w:sectPr w:rsidR="00B630EA" w:rsidSect="00C514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2854"/>
    <w:multiLevelType w:val="multilevel"/>
    <w:tmpl w:val="901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0022E"/>
    <w:multiLevelType w:val="multilevel"/>
    <w:tmpl w:val="91B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A9"/>
    <w:rsid w:val="00045819"/>
    <w:rsid w:val="002A58F3"/>
    <w:rsid w:val="00395A60"/>
    <w:rsid w:val="00511366"/>
    <w:rsid w:val="00596B9C"/>
    <w:rsid w:val="00651531"/>
    <w:rsid w:val="007A3857"/>
    <w:rsid w:val="008D5087"/>
    <w:rsid w:val="00930E8D"/>
    <w:rsid w:val="00C514A9"/>
    <w:rsid w:val="00CA2F84"/>
    <w:rsid w:val="00CE61C8"/>
    <w:rsid w:val="00DD1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E464"/>
  <w15:chartTrackingRefBased/>
  <w15:docId w15:val="{0135EDB6-D38D-4F96-BC69-F0C87E84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paragraph" w:styleId="Heading1">
    <w:name w:val="heading 1"/>
    <w:basedOn w:val="Normal"/>
    <w:link w:val="Heading1Char"/>
    <w:uiPriority w:val="9"/>
    <w:qFormat/>
    <w:rsid w:val="00C514A9"/>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514A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514A9"/>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A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514A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514A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514A9"/>
    <w:pPr>
      <w:spacing w:before="100" w:beforeAutospacing="1" w:after="100" w:afterAutospacing="1"/>
    </w:pPr>
    <w:rPr>
      <w:rFonts w:ascii="Times New Roman" w:eastAsia="Times New Roman" w:hAnsi="Times New Roman" w:cs="Times New Roman"/>
      <w:szCs w:val="24"/>
      <w:lang w:eastAsia="en-CA"/>
    </w:rPr>
  </w:style>
  <w:style w:type="character" w:styleId="Emphasis">
    <w:name w:val="Emphasis"/>
    <w:basedOn w:val="DefaultParagraphFont"/>
    <w:uiPriority w:val="20"/>
    <w:qFormat/>
    <w:rsid w:val="00C514A9"/>
    <w:rPr>
      <w:i/>
      <w:iCs/>
    </w:rPr>
  </w:style>
  <w:style w:type="character" w:styleId="Hyperlink">
    <w:name w:val="Hyperlink"/>
    <w:basedOn w:val="DefaultParagraphFont"/>
    <w:uiPriority w:val="99"/>
    <w:semiHidden/>
    <w:unhideWhenUsed/>
    <w:rsid w:val="00C514A9"/>
    <w:rPr>
      <w:color w:val="0000FF"/>
      <w:u w:val="single"/>
    </w:rPr>
  </w:style>
  <w:style w:type="character" w:styleId="Strong">
    <w:name w:val="Strong"/>
    <w:basedOn w:val="DefaultParagraphFont"/>
    <w:uiPriority w:val="22"/>
    <w:qFormat/>
    <w:rsid w:val="00C51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94389">
      <w:bodyDiv w:val="1"/>
      <w:marLeft w:val="0"/>
      <w:marRight w:val="0"/>
      <w:marTop w:val="0"/>
      <w:marBottom w:val="0"/>
      <w:divBdr>
        <w:top w:val="none" w:sz="0" w:space="0" w:color="auto"/>
        <w:left w:val="none" w:sz="0" w:space="0" w:color="auto"/>
        <w:bottom w:val="none" w:sz="0" w:space="0" w:color="auto"/>
        <w:right w:val="none" w:sz="0" w:space="0" w:color="auto"/>
      </w:divBdr>
      <w:divsChild>
        <w:div w:id="73223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ov.bc.ca/assets/gov/employment-business-and-economic-development/business-management/permits-licences-and-registration/registries-other-assets/20200618_registrar_decision_to_extend_societies_ag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laws.ca/civix/document/id/mo/mo/2020_m116" TargetMode="External"/><Relationship Id="rId5" Type="http://schemas.openxmlformats.org/officeDocument/2006/relationships/hyperlink" Target="https://www2.gov.bc.ca/assets/gov/employment-business-and-economic-development/business-management/permits-licences-and-registration/registries-other-assets/20200618_registrar_decision_to_extend_societies_ag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White</dc:creator>
  <cp:keywords/>
  <dc:description/>
  <cp:lastModifiedBy>Ralph White</cp:lastModifiedBy>
  <cp:revision>1</cp:revision>
  <dcterms:created xsi:type="dcterms:W3CDTF">2020-09-02T00:57:00Z</dcterms:created>
  <dcterms:modified xsi:type="dcterms:W3CDTF">2020-09-02T00:57:00Z</dcterms:modified>
</cp:coreProperties>
</file>